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унитарное предприятие «Жилищно-коммунальный </w:t>
      </w:r>
      <w:proofErr w:type="gramStart"/>
      <w:r w:rsidRPr="00675826">
        <w:rPr>
          <w:rFonts w:ascii="Times New Roman" w:hAnsi="Times New Roman" w:cs="Times New Roman"/>
          <w:b/>
          <w:bCs/>
          <w:sz w:val="24"/>
          <w:szCs w:val="24"/>
        </w:rPr>
        <w:t>сервис» 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proofErr w:type="gramEnd"/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768E5">
        <w:rPr>
          <w:rFonts w:ascii="Times New Roman" w:hAnsi="Times New Roman" w:cs="Times New Roman"/>
          <w:sz w:val="24"/>
          <w:szCs w:val="24"/>
        </w:rPr>
        <w:t>1</w:t>
      </w:r>
      <w:r w:rsidR="00DA5552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768E5">
        <w:rPr>
          <w:rFonts w:ascii="Times New Roman" w:hAnsi="Times New Roman" w:cs="Times New Roman"/>
          <w:sz w:val="24"/>
          <w:szCs w:val="24"/>
        </w:rPr>
        <w:t>9-ой Пятилетки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DA5552">
        <w:rPr>
          <w:rFonts w:ascii="Times New Roman" w:hAnsi="Times New Roman" w:cs="Times New Roman"/>
          <w:sz w:val="24"/>
          <w:szCs w:val="24"/>
        </w:rPr>
        <w:t>579,7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DA5552">
        <w:rPr>
          <w:rFonts w:ascii="Times New Roman" w:hAnsi="Times New Roman" w:cs="Times New Roman"/>
          <w:sz w:val="24"/>
          <w:szCs w:val="24"/>
        </w:rPr>
        <w:t>4314,10</w:t>
      </w:r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</w:t>
      </w:r>
      <w:bookmarkStart w:id="0" w:name="_GoBack"/>
      <w:bookmarkEnd w:id="0"/>
      <w:r w:rsidRPr="00675826">
        <w:rPr>
          <w:rFonts w:ascii="Times New Roman" w:hAnsi="Times New Roman" w:cs="Times New Roman"/>
          <w:sz w:val="24"/>
          <w:szCs w:val="24"/>
        </w:rPr>
        <w:t xml:space="preserve">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21184"/>
    <w:rsid w:val="00130FB5"/>
    <w:rsid w:val="001A5FB6"/>
    <w:rsid w:val="00202EF6"/>
    <w:rsid w:val="002410D0"/>
    <w:rsid w:val="00267947"/>
    <w:rsid w:val="0030508A"/>
    <w:rsid w:val="00354BD3"/>
    <w:rsid w:val="003B40B1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7790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AF713-83CF-490B-9C27-F452F06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4</cp:revision>
  <dcterms:created xsi:type="dcterms:W3CDTF">2023-06-27T02:49:00Z</dcterms:created>
  <dcterms:modified xsi:type="dcterms:W3CDTF">2023-06-27T03:51:00Z</dcterms:modified>
</cp:coreProperties>
</file>